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827D82">
        <w:rPr>
          <w:sz w:val="23"/>
          <w:szCs w:val="23"/>
        </w:rPr>
        <w:t>126</w:t>
      </w:r>
      <w:r w:rsidR="00850DD4">
        <w:rPr>
          <w:sz w:val="23"/>
          <w:szCs w:val="23"/>
        </w:rPr>
        <w:t xml:space="preserve"> – 16 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5346E1">
        <w:rPr>
          <w:sz w:val="23"/>
          <w:szCs w:val="23"/>
        </w:rPr>
        <w:t>Pål Mathiesen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537441">
        <w:rPr>
          <w:rFonts w:asciiTheme="minorHAnsi" w:hAnsiTheme="minorHAnsi"/>
          <w:sz w:val="23"/>
          <w:szCs w:val="23"/>
        </w:rPr>
        <w:t>28.09</w:t>
      </w:r>
      <w:r w:rsidR="007D2FF4">
        <w:rPr>
          <w:rFonts w:asciiTheme="minorHAnsi" w:hAnsiTheme="minorHAnsi"/>
          <w:sz w:val="23"/>
          <w:szCs w:val="23"/>
        </w:rPr>
        <w:t>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proofErr w:type="spellStart"/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="005346E1">
        <w:rPr>
          <w:rFonts w:asciiTheme="minorHAnsi" w:hAnsiTheme="minorHAnsi"/>
          <w:b/>
          <w:bCs/>
          <w:sz w:val="28"/>
          <w:szCs w:val="28"/>
          <w:u w:val="single"/>
        </w:rPr>
        <w:t xml:space="preserve"> 30005 -</w:t>
      </w: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346E1" w:rsidRPr="005346E1">
        <w:rPr>
          <w:rFonts w:asciiTheme="minorHAnsi" w:hAnsiTheme="minorHAnsi"/>
          <w:b/>
          <w:bCs/>
          <w:sz w:val="28"/>
          <w:szCs w:val="28"/>
          <w:u w:val="single"/>
        </w:rPr>
        <w:t>Uteområde Bogafjell skole, universell utforming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2F3A58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>
        <w:rPr>
          <w:rFonts w:asciiTheme="minorHAnsi" w:hAnsiTheme="minorHAnsi"/>
          <w:sz w:val="22"/>
          <w:szCs w:val="22"/>
        </w:rPr>
        <w:t xml:space="preserve"> rehabilitering og ombygging med </w:t>
      </w:r>
      <w:r w:rsidR="00AB2B9F">
        <w:rPr>
          <w:rFonts w:asciiTheme="minorHAnsi" w:hAnsiTheme="minorHAnsi"/>
          <w:sz w:val="22"/>
          <w:szCs w:val="22"/>
        </w:rPr>
        <w:t>universell u</w:t>
      </w:r>
      <w:r>
        <w:rPr>
          <w:rFonts w:asciiTheme="minorHAnsi" w:hAnsiTheme="minorHAnsi"/>
          <w:sz w:val="22"/>
          <w:szCs w:val="22"/>
        </w:rPr>
        <w:t xml:space="preserve">tforming av del I av utearealet ved Bogafjell skole. Prosjektet ble utviklet av avdelingen for landskapsarkitektur hos Rambøll AS i nært samarbeid med skolens representanter og elevråd. </w:t>
      </w:r>
    </w:p>
    <w:p w:rsidR="002F3A58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Oppdraget ble lyst ut på Doffin sommeren 2015 og Bjørns hage og anlegg vant konkurransen med sitt tilbud på kr. 1 779 772,- inkl. mva.</w:t>
      </w:r>
    </w:p>
    <w:p w:rsidR="002F3A58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Prosjektet ble startet i september 2015 og ferdigstilt i november 2015 i henhold til prosjektets fremdriftsplan.</w:t>
      </w:r>
    </w:p>
    <w:p w:rsidR="002F3A58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skal gjennomføres 1 års garantibefaring nå i høst.</w:t>
      </w:r>
    </w:p>
    <w:p w:rsidR="002F3A58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</w:t>
      </w:r>
      <w:r>
        <w:rPr>
          <w:rFonts w:asciiTheme="minorHAnsi" w:hAnsiTheme="minorHAnsi"/>
          <w:sz w:val="22"/>
          <w:szCs w:val="22"/>
        </w:rPr>
        <w:t>utstedes ikke</w:t>
      </w:r>
      <w:r w:rsidRPr="00D004A0">
        <w:rPr>
          <w:rFonts w:asciiTheme="minorHAnsi" w:hAnsiTheme="minorHAnsi"/>
          <w:sz w:val="22"/>
          <w:szCs w:val="22"/>
        </w:rPr>
        <w:t xml:space="preserve"> ferdigattest for </w:t>
      </w:r>
      <w:r>
        <w:rPr>
          <w:rFonts w:asciiTheme="minorHAnsi" w:hAnsiTheme="minorHAnsi"/>
          <w:sz w:val="22"/>
          <w:szCs w:val="22"/>
        </w:rPr>
        <w:t xml:space="preserve">denne type </w:t>
      </w:r>
      <w:r w:rsidRPr="00D004A0">
        <w:rPr>
          <w:rFonts w:asciiTheme="minorHAnsi" w:hAnsiTheme="minorHAnsi"/>
          <w:sz w:val="22"/>
          <w:szCs w:val="22"/>
        </w:rPr>
        <w:t xml:space="preserve">prosjektet.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p w:rsidR="002F3A58" w:rsidRPr="00D004A0" w:rsidRDefault="002F3A58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09"/>
        <w:gridCol w:w="186"/>
      </w:tblGrid>
      <w:tr w:rsidR="00895EB6" w:rsidRPr="00895EB6" w:rsidTr="00895EB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1 874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bookmarkStart w:id="0" w:name="_GoBack"/>
        <w:bookmarkEnd w:id="0"/>
      </w:tr>
      <w:tr w:rsidR="00895EB6" w:rsidRPr="00895EB6" w:rsidTr="00895EB6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ØP 2013-2016, </w:t>
            </w:r>
            <w:proofErr w:type="spellStart"/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149/13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1.per.rapp. 2014 </w:t>
            </w:r>
            <w:proofErr w:type="spellStart"/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88/14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95EB6" w:rsidRPr="00895EB6" w:rsidTr="00895EB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B6" w:rsidRPr="00895EB6" w:rsidRDefault="00895EB6" w:rsidP="00895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3A58" w:rsidRDefault="002F3A58" w:rsidP="0094239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F3A58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2F3A58">
        <w:rPr>
          <w:rFonts w:asciiTheme="minorHAnsi" w:hAnsiTheme="minorHAnsi"/>
          <w:sz w:val="22"/>
          <w:szCs w:val="22"/>
        </w:rPr>
        <w:t>2,317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2F3A58">
        <w:rPr>
          <w:rFonts w:asciiTheme="minorHAnsi" w:hAnsiTheme="minorHAnsi"/>
          <w:sz w:val="22"/>
          <w:szCs w:val="22"/>
        </w:rPr>
        <w:t>t mindre</w:t>
      </w:r>
      <w:r w:rsidR="0076474D" w:rsidRPr="00D004A0">
        <w:rPr>
          <w:rFonts w:asciiTheme="minorHAnsi" w:hAnsiTheme="minorHAnsi"/>
          <w:sz w:val="22"/>
          <w:szCs w:val="22"/>
        </w:rPr>
        <w:t xml:space="preserve"> forbruk på kr </w:t>
      </w:r>
      <w:r w:rsidR="002F3A58">
        <w:rPr>
          <w:rFonts w:asciiTheme="minorHAnsi" w:hAnsiTheme="minorHAnsi"/>
          <w:sz w:val="22"/>
          <w:szCs w:val="22"/>
        </w:rPr>
        <w:t xml:space="preserve">58 </w:t>
      </w:r>
      <w:r w:rsidR="00AB2B9F">
        <w:rPr>
          <w:rFonts w:asciiTheme="minorHAnsi" w:hAnsiTheme="minorHAnsi"/>
          <w:sz w:val="22"/>
          <w:szCs w:val="22"/>
        </w:rPr>
        <w:t>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  <w:r w:rsidR="002F3A58">
        <w:rPr>
          <w:rFonts w:asciiTheme="minorHAnsi" w:hAnsiTheme="minorHAnsi"/>
          <w:sz w:val="22"/>
          <w:szCs w:val="22"/>
        </w:rPr>
        <w:t xml:space="preserve"> Det foreslås at restbeløpet settes av til eventuelle tiltak som anses nødvendige i forbindelse med 1 år garantibefaringen.</w:t>
      </w:r>
    </w:p>
    <w:p w:rsidR="002F3A58" w:rsidRDefault="002F3A58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7D32E3" w:rsidRDefault="002F3A58" w:rsidP="002F3A58">
      <w:pPr>
        <w:pStyle w:val="Default"/>
        <w:rPr>
          <w:b/>
          <w:bCs/>
          <w:sz w:val="28"/>
          <w:szCs w:val="28"/>
        </w:rPr>
      </w:pPr>
      <w:r w:rsidRPr="007D32E3">
        <w:rPr>
          <w:b/>
          <w:bCs/>
          <w:sz w:val="28"/>
          <w:szCs w:val="28"/>
        </w:rPr>
        <w:t xml:space="preserve">Forslag til vedtak: </w:t>
      </w:r>
    </w:p>
    <w:p w:rsidR="002F3A58" w:rsidRPr="007D32E3" w:rsidRDefault="002F3A58" w:rsidP="002F3A58">
      <w:pPr>
        <w:pStyle w:val="Default"/>
        <w:rPr>
          <w:sz w:val="28"/>
          <w:szCs w:val="28"/>
        </w:rPr>
      </w:pPr>
    </w:p>
    <w:p w:rsidR="002F3A58" w:rsidRPr="00537441" w:rsidRDefault="002F3A58" w:rsidP="00537441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37441">
        <w:rPr>
          <w:rFonts w:asciiTheme="minorHAnsi" w:hAnsiTheme="minorHAnsi" w:cs="Times New Roman"/>
          <w:sz w:val="22"/>
          <w:szCs w:val="22"/>
        </w:rPr>
        <w:t>Byggeregnskap for prosjekt 30005 god</w:t>
      </w:r>
      <w:r w:rsidR="00537441" w:rsidRPr="00537441">
        <w:rPr>
          <w:rFonts w:asciiTheme="minorHAnsi" w:hAnsiTheme="minorHAnsi" w:cs="Times New Roman"/>
          <w:sz w:val="22"/>
          <w:szCs w:val="22"/>
        </w:rPr>
        <w:t>kjennes på kr 2,317 millioner og avsluttes</w:t>
      </w:r>
      <w:r w:rsidR="00B171AE">
        <w:rPr>
          <w:rFonts w:asciiTheme="minorHAnsi" w:hAnsiTheme="minorHAnsi" w:cs="Times New Roman"/>
          <w:sz w:val="22"/>
          <w:szCs w:val="22"/>
        </w:rPr>
        <w:t xml:space="preserve"> med et underforbruk på kr 58 </w:t>
      </w:r>
      <w:r w:rsidR="00AB2B9F">
        <w:rPr>
          <w:rFonts w:asciiTheme="minorHAnsi" w:hAnsiTheme="minorHAnsi" w:cs="Times New Roman"/>
          <w:sz w:val="22"/>
          <w:szCs w:val="22"/>
        </w:rPr>
        <w:t>000</w:t>
      </w:r>
      <w:r w:rsidR="00537441" w:rsidRPr="00537441">
        <w:rPr>
          <w:rFonts w:asciiTheme="minorHAnsi" w:hAnsiTheme="minorHAnsi" w:cs="Times New Roman"/>
          <w:sz w:val="22"/>
          <w:szCs w:val="22"/>
        </w:rPr>
        <w:t>. Det avsettes kr 58 000 til eventuelle nødvendige tiltak i forbin</w:t>
      </w:r>
      <w:r w:rsidRPr="00537441">
        <w:rPr>
          <w:rFonts w:asciiTheme="minorHAnsi" w:hAnsiTheme="minorHAnsi" w:cs="Times New Roman"/>
          <w:sz w:val="22"/>
          <w:szCs w:val="22"/>
        </w:rPr>
        <w:t>delse med 1 års garantibefaring i høst.</w:t>
      </w:r>
    </w:p>
    <w:p w:rsidR="00537441" w:rsidRDefault="00537441" w:rsidP="00537441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Saken oversendes rådmannen for videre oppfølging </w:t>
      </w:r>
    </w:p>
    <w:p w:rsidR="00537441" w:rsidRPr="00537441" w:rsidRDefault="00537441" w:rsidP="005374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F3A58" w:rsidRPr="007D32E3" w:rsidRDefault="002F3A58" w:rsidP="002F3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B171AE" w:rsidRDefault="002F3A58" w:rsidP="00B171AE">
      <w:pPr>
        <w:pStyle w:val="Default"/>
        <w:rPr>
          <w:rFonts w:asciiTheme="minorHAnsi" w:hAnsiTheme="minorHAnsi"/>
          <w:sz w:val="22"/>
          <w:szCs w:val="22"/>
        </w:rPr>
      </w:pPr>
      <w:r w:rsidRPr="00B171AE">
        <w:rPr>
          <w:rFonts w:asciiTheme="minorHAnsi" w:hAnsiTheme="minorHAnsi"/>
          <w:sz w:val="22"/>
          <w:szCs w:val="22"/>
        </w:rPr>
        <w:t>S</w:t>
      </w:r>
      <w:r w:rsidR="00537441" w:rsidRPr="00B171AE">
        <w:rPr>
          <w:rFonts w:asciiTheme="minorHAnsi" w:hAnsiTheme="minorHAnsi"/>
          <w:sz w:val="22"/>
          <w:szCs w:val="22"/>
        </w:rPr>
        <w:t xml:space="preserve">andnes Eiendomsselskap KF, </w:t>
      </w:r>
      <w:r w:rsidR="00A962F8">
        <w:rPr>
          <w:rFonts w:asciiTheme="minorHAnsi" w:hAnsiTheme="minorHAnsi"/>
          <w:sz w:val="22"/>
          <w:szCs w:val="22"/>
        </w:rPr>
        <w:t>21</w:t>
      </w:r>
      <w:r w:rsidR="00537441" w:rsidRPr="00B171AE">
        <w:rPr>
          <w:rFonts w:asciiTheme="minorHAnsi" w:hAnsiTheme="minorHAnsi"/>
          <w:sz w:val="22"/>
          <w:szCs w:val="22"/>
        </w:rPr>
        <w:t>.09.2016</w:t>
      </w: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 w:rsidRPr="00B171AE">
        <w:rPr>
          <w:rFonts w:asciiTheme="minorHAnsi" w:hAnsiTheme="minorHAnsi"/>
          <w:sz w:val="22"/>
          <w:szCs w:val="22"/>
        </w:rPr>
        <w:t xml:space="preserve">Torbjørn Sterri </w:t>
      </w: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 w:rsidRPr="00B171AE">
        <w:rPr>
          <w:rFonts w:asciiTheme="minorHAnsi" w:hAnsiTheme="minorHAnsi"/>
          <w:sz w:val="22"/>
          <w:szCs w:val="22"/>
        </w:rPr>
        <w:t xml:space="preserve">Daglig leder </w:t>
      </w: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</w:p>
    <w:p w:rsidR="002F3A58" w:rsidRPr="00B171AE" w:rsidRDefault="002F3A58" w:rsidP="002F3A58">
      <w:pPr>
        <w:pStyle w:val="Default"/>
        <w:rPr>
          <w:rFonts w:asciiTheme="minorHAnsi" w:hAnsiTheme="minorHAnsi"/>
          <w:sz w:val="22"/>
          <w:szCs w:val="22"/>
        </w:rPr>
      </w:pPr>
      <w:r w:rsidRPr="00B171AE">
        <w:rPr>
          <w:rFonts w:asciiTheme="minorHAnsi" w:hAnsiTheme="minorHAnsi"/>
          <w:sz w:val="22"/>
          <w:szCs w:val="22"/>
        </w:rPr>
        <w:t>Vedlegg 1 Revisjonsrapport fra Rogaland Revisjon IKS</w:t>
      </w:r>
    </w:p>
    <w:p w:rsidR="002F3A58" w:rsidRPr="00B171AE" w:rsidRDefault="002F3A58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CE13CF" w:rsidRPr="00D004A0" w:rsidRDefault="00CE13CF">
      <w:pPr>
        <w:rPr>
          <w:rFonts w:cs="Calibri"/>
          <w:color w:val="000000"/>
        </w:rPr>
      </w:pPr>
    </w:p>
    <w:sectPr w:rsidR="00CE13CF" w:rsidRPr="00D004A0" w:rsidSect="00E152F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50" w:rsidRDefault="00787050" w:rsidP="000C7419">
      <w:pPr>
        <w:spacing w:after="0" w:line="240" w:lineRule="auto"/>
      </w:pPr>
      <w:r>
        <w:separator/>
      </w:r>
    </w:p>
  </w:endnote>
  <w:endnote w:type="continuationSeparator" w:id="0">
    <w:p w:rsidR="00787050" w:rsidRDefault="00787050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436298"/>
      <w:docPartObj>
        <w:docPartGallery w:val="Page Numbers (Bottom of Page)"/>
        <w:docPartUnique/>
      </w:docPartObj>
    </w:sdtPr>
    <w:sdtContent>
      <w:p w:rsidR="00827D82" w:rsidRDefault="00827D8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7D82" w:rsidRDefault="00827D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50" w:rsidRDefault="00787050" w:rsidP="000C7419">
      <w:pPr>
        <w:spacing w:after="0" w:line="240" w:lineRule="auto"/>
      </w:pPr>
      <w:r>
        <w:separator/>
      </w:r>
    </w:p>
  </w:footnote>
  <w:footnote w:type="continuationSeparator" w:id="0">
    <w:p w:rsidR="00787050" w:rsidRDefault="00787050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12F18"/>
    <w:rsid w:val="00181F32"/>
    <w:rsid w:val="00274D30"/>
    <w:rsid w:val="00285A78"/>
    <w:rsid w:val="002A3AAF"/>
    <w:rsid w:val="002B545D"/>
    <w:rsid w:val="002C1DAC"/>
    <w:rsid w:val="002D4D84"/>
    <w:rsid w:val="002D5A92"/>
    <w:rsid w:val="002F3A58"/>
    <w:rsid w:val="00362CE3"/>
    <w:rsid w:val="00513B46"/>
    <w:rsid w:val="00522950"/>
    <w:rsid w:val="005346E1"/>
    <w:rsid w:val="00537441"/>
    <w:rsid w:val="00540E9D"/>
    <w:rsid w:val="005E305B"/>
    <w:rsid w:val="0061121B"/>
    <w:rsid w:val="006674EB"/>
    <w:rsid w:val="00670CB8"/>
    <w:rsid w:val="00674092"/>
    <w:rsid w:val="006F2782"/>
    <w:rsid w:val="00756C63"/>
    <w:rsid w:val="0076474D"/>
    <w:rsid w:val="00783456"/>
    <w:rsid w:val="00787050"/>
    <w:rsid w:val="007B3359"/>
    <w:rsid w:val="007D2FF4"/>
    <w:rsid w:val="007D32E3"/>
    <w:rsid w:val="00827D82"/>
    <w:rsid w:val="00850DD4"/>
    <w:rsid w:val="00856BB7"/>
    <w:rsid w:val="00895EB6"/>
    <w:rsid w:val="00895FB1"/>
    <w:rsid w:val="008A5F49"/>
    <w:rsid w:val="008C7F1C"/>
    <w:rsid w:val="008D6A50"/>
    <w:rsid w:val="008D78E0"/>
    <w:rsid w:val="0094239C"/>
    <w:rsid w:val="009452B7"/>
    <w:rsid w:val="009811C7"/>
    <w:rsid w:val="009A5D15"/>
    <w:rsid w:val="00A962F8"/>
    <w:rsid w:val="00AB2B9F"/>
    <w:rsid w:val="00AF4B49"/>
    <w:rsid w:val="00B07507"/>
    <w:rsid w:val="00B171AE"/>
    <w:rsid w:val="00B4542F"/>
    <w:rsid w:val="00B464E7"/>
    <w:rsid w:val="00B60995"/>
    <w:rsid w:val="00B67744"/>
    <w:rsid w:val="00B95C42"/>
    <w:rsid w:val="00C15AB2"/>
    <w:rsid w:val="00C24FF7"/>
    <w:rsid w:val="00CE0EF9"/>
    <w:rsid w:val="00CE13CF"/>
    <w:rsid w:val="00CE2AA6"/>
    <w:rsid w:val="00CF0876"/>
    <w:rsid w:val="00CF1952"/>
    <w:rsid w:val="00D004A0"/>
    <w:rsid w:val="00D7264E"/>
    <w:rsid w:val="00D8242E"/>
    <w:rsid w:val="00DA751E"/>
    <w:rsid w:val="00E004C9"/>
    <w:rsid w:val="00E152FD"/>
    <w:rsid w:val="00E62D86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2F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Bjerkelo, Ingunn</cp:lastModifiedBy>
  <cp:revision>2</cp:revision>
  <cp:lastPrinted>2015-05-20T07:40:00Z</cp:lastPrinted>
  <dcterms:created xsi:type="dcterms:W3CDTF">2016-09-20T15:49:00Z</dcterms:created>
  <dcterms:modified xsi:type="dcterms:W3CDTF">2016-09-20T15:49:00Z</dcterms:modified>
</cp:coreProperties>
</file>